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media/image2.webp" ContentType="image/webp"/>
  <Override PartName="/word/media/image3.webp" ContentType="image/webp"/>
  <Override PartName="/word/media/image4.webp" ContentType="image/webp"/>
  <Override PartName="/word/media/image5.webp" ContentType="image/webp"/>
  <Override PartName="/word/media/image6.webp" ContentType="image/webp"/>
  <Override PartName="/word/media/image7.webp" ContentType="image/webp"/>
  <Override PartName="/word/media/image8.webp" ContentType="image/webp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F9B7F3">
      <w:pPr>
        <w:rPr>
          <w:rFonts w:ascii="Times New Roman" w:hAnsi="Times New Roman" w:eastAsia="黑体" w:cs="Times New Roman"/>
          <w:bCs/>
          <w:sz w:val="30"/>
          <w:szCs w:val="30"/>
        </w:rPr>
      </w:pPr>
      <w:r>
        <w:rPr>
          <w:rFonts w:ascii="Times New Roman" w:hAnsi="Times New Roman" w:eastAsia="黑体" w:cs="Times New Roman"/>
          <w:bCs/>
          <w:sz w:val="30"/>
          <w:szCs w:val="30"/>
          <w:lang w:val="zh-TW" w:eastAsia="zh-TW"/>
        </w:rPr>
        <w:t>附件</w:t>
      </w:r>
      <w:r>
        <w:rPr>
          <w:rFonts w:ascii="Times New Roman" w:hAnsi="Times New Roman" w:eastAsia="黑体" w:cs="Times New Roman"/>
          <w:bCs/>
          <w:sz w:val="30"/>
          <w:szCs w:val="30"/>
        </w:rPr>
        <w:t>6</w:t>
      </w:r>
    </w:p>
    <w:p w14:paraId="7951969D">
      <w:pPr>
        <w:spacing w:line="560" w:lineRule="exact"/>
        <w:jc w:val="center"/>
        <w:rPr>
          <w:rFonts w:ascii="Times New Roman" w:hAnsi="Times New Roman" w:eastAsia="方正小标宋_GBK" w:cs="Times New Roman"/>
          <w:sz w:val="36"/>
          <w:szCs w:val="36"/>
          <w:lang w:val="zh-TW" w:eastAsia="zh-TW"/>
        </w:rPr>
      </w:pPr>
      <w:r>
        <w:rPr>
          <w:rFonts w:ascii="Times New Roman" w:hAnsi="Times New Roman" w:eastAsia="方正小标宋_GBK" w:cs="Times New Roman"/>
          <w:sz w:val="36"/>
          <w:szCs w:val="36"/>
          <w:lang w:val="zh-TW" w:eastAsia="zh-TW"/>
        </w:rPr>
        <w:t>江苏省县级融媒好新闻参评作品推荐表</w:t>
      </w:r>
    </w:p>
    <w:tbl>
      <w:tblPr>
        <w:tblStyle w:val="12"/>
        <w:tblpPr w:leftFromText="180" w:rightFromText="180" w:vertAnchor="page" w:horzAnchor="page" w:tblpX="765" w:tblpY="2705"/>
        <w:tblOverlap w:val="never"/>
        <w:tblW w:w="10327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79"/>
        <w:gridCol w:w="1347"/>
        <w:gridCol w:w="2161"/>
        <w:gridCol w:w="1536"/>
        <w:gridCol w:w="1481"/>
        <w:gridCol w:w="2023"/>
      </w:tblGrid>
      <w:tr w14:paraId="09DE565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74" w:hRule="atLeast"/>
        </w:trPr>
        <w:tc>
          <w:tcPr>
            <w:tcW w:w="1779" w:type="dxa"/>
            <w:vAlign w:val="center"/>
          </w:tcPr>
          <w:p w14:paraId="6F5E50EF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作品标题</w:t>
            </w:r>
          </w:p>
        </w:tc>
        <w:tc>
          <w:tcPr>
            <w:tcW w:w="5044" w:type="dxa"/>
            <w:gridSpan w:val="3"/>
            <w:vAlign w:val="center"/>
          </w:tcPr>
          <w:p w14:paraId="6EC51985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睢宁一学校在厕所装报警器！原因是……</w:t>
            </w:r>
          </w:p>
        </w:tc>
        <w:tc>
          <w:tcPr>
            <w:tcW w:w="1481" w:type="dxa"/>
            <w:vAlign w:val="center"/>
          </w:tcPr>
          <w:p w14:paraId="66A9EA69">
            <w:pPr>
              <w:pStyle w:val="18"/>
              <w:spacing w:before="48" w:line="356" w:lineRule="exact"/>
              <w:ind w:left="146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评选项目</w:t>
            </w:r>
          </w:p>
        </w:tc>
        <w:tc>
          <w:tcPr>
            <w:tcW w:w="2023" w:type="dxa"/>
            <w:vAlign w:val="center"/>
          </w:tcPr>
          <w:p w14:paraId="449DB072">
            <w:pPr>
              <w:pStyle w:val="18"/>
              <w:spacing w:before="5" w:line="232" w:lineRule="auto"/>
              <w:ind w:left="107" w:right="22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新闻专题</w:t>
            </w:r>
          </w:p>
        </w:tc>
      </w:tr>
      <w:tr w14:paraId="59BF18A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98" w:hRule="atLeast"/>
        </w:trPr>
        <w:tc>
          <w:tcPr>
            <w:tcW w:w="1779" w:type="dxa"/>
            <w:vAlign w:val="center"/>
          </w:tcPr>
          <w:p w14:paraId="6A049EED">
            <w:pPr>
              <w:spacing w:line="320" w:lineRule="exact"/>
              <w:jc w:val="center"/>
              <w:rPr>
                <w:rFonts w:ascii="Times New Roman" w:hAnsi="Times New Roman" w:eastAsia="方正仿宋_GBK" w:cs="Times New Roman"/>
                <w:spacing w:val="-12"/>
                <w:sz w:val="28"/>
                <w:szCs w:val="28"/>
                <w:lang w:val="zh-TW" w:eastAsia="zh-TW"/>
              </w:rPr>
            </w:pPr>
            <w:r>
              <w:rPr>
                <w:rFonts w:ascii="Times New Roman" w:hAnsi="Times New Roman" w:eastAsia="方正仿宋_GBK" w:cs="Times New Roman"/>
                <w:spacing w:val="-12"/>
                <w:sz w:val="28"/>
                <w:szCs w:val="28"/>
              </w:rPr>
              <w:t>专门项</w:t>
            </w:r>
            <w:r>
              <w:rPr>
                <w:rFonts w:ascii="Times New Roman" w:hAnsi="Times New Roman" w:eastAsia="方正仿宋_GBK" w:cs="Times New Roman"/>
                <w:spacing w:val="-12"/>
                <w:sz w:val="28"/>
                <w:szCs w:val="28"/>
                <w:lang w:val="zh-TW" w:eastAsia="zh-TW"/>
              </w:rPr>
              <w:t>类别</w:t>
            </w:r>
          </w:p>
          <w:p w14:paraId="357DB9BA">
            <w:pPr>
              <w:spacing w:line="320" w:lineRule="exact"/>
              <w:jc w:val="center"/>
              <w:rPr>
                <w:rFonts w:ascii="Times New Roman" w:hAnsi="Times New Roman" w:eastAsia="方正仿宋_GBK" w:cs="Times New Roman"/>
                <w:spacing w:val="-12"/>
                <w:sz w:val="28"/>
                <w:szCs w:val="28"/>
                <w:lang w:val="zh-TW"/>
              </w:rPr>
            </w:pPr>
            <w:r>
              <w:rPr>
                <w:rFonts w:ascii="Times New Roman" w:hAnsi="Times New Roman" w:eastAsia="方正仿宋_GBK" w:cs="Times New Roman"/>
                <w:color w:val="808080" w:themeColor="text1" w:themeTint="80"/>
                <w:spacing w:val="-12"/>
                <w:sz w:val="28"/>
                <w:szCs w:val="28"/>
                <w:lang w:val="zh-TW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（</w:t>
            </w:r>
            <w:r>
              <w:rPr>
                <w:rFonts w:ascii="Times New Roman" w:hAnsi="Times New Roman" w:eastAsia="方正仿宋_GBK" w:cs="Times New Roman"/>
                <w:color w:val="808080" w:themeColor="text1" w:themeTint="80"/>
                <w:spacing w:val="-12"/>
                <w:sz w:val="28"/>
                <w:szCs w:val="28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可选填</w:t>
            </w:r>
            <w:r>
              <w:rPr>
                <w:rFonts w:ascii="Times New Roman" w:hAnsi="Times New Roman" w:eastAsia="方正仿宋_GBK" w:cs="Times New Roman"/>
                <w:color w:val="808080" w:themeColor="text1" w:themeTint="80"/>
                <w:spacing w:val="-12"/>
                <w:sz w:val="28"/>
                <w:szCs w:val="28"/>
                <w:lang w:val="zh-TW"/>
                <w14:textFill>
                  <w14:solidFill>
                    <w14:schemeClr w14:val="tx1">
                      <w14:lumMod w14:val="50000"/>
                      <w14:lumOff w14:val="50000"/>
                    </w14:schemeClr>
                  </w14:solidFill>
                </w14:textFill>
              </w:rPr>
              <w:t>）</w:t>
            </w:r>
          </w:p>
        </w:tc>
        <w:tc>
          <w:tcPr>
            <w:tcW w:w="5044" w:type="dxa"/>
            <w:gridSpan w:val="3"/>
            <w:vAlign w:val="center"/>
          </w:tcPr>
          <w:p w14:paraId="2EF8B33A">
            <w:pPr>
              <w:ind w:firstLine="140" w:firstLineChars="50"/>
              <w:rPr>
                <w:rFonts w:ascii="Times New Roman" w:hAnsi="Times New Roman" w:eastAsia="方正楷体_GBK" w:cs="Times New Roman"/>
                <w:sz w:val="28"/>
                <w:szCs w:val="28"/>
              </w:rPr>
            </w:pPr>
            <w:r>
              <w:rPr>
                <w:rFonts w:ascii="Times New Roman" w:hAnsi="Times New Roman" w:eastAsia="方正楷体_GBK" w:cs="Times New Roman"/>
                <w:sz w:val="28"/>
                <w:szCs w:val="28"/>
              </w:rPr>
              <w:t>重大主题（   ）；国际传播（   ）；</w:t>
            </w:r>
          </w:p>
          <w:p w14:paraId="191E315D">
            <w:pPr>
              <w:ind w:firstLine="140" w:firstLineChars="50"/>
              <w:rPr>
                <w:rFonts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ascii="Times New Roman" w:hAnsi="Times New Roman" w:eastAsia="方正楷体_GBK" w:cs="Times New Roman"/>
                <w:sz w:val="28"/>
                <w:szCs w:val="28"/>
              </w:rPr>
              <w:t xml:space="preserve">典型报道（ </w:t>
            </w:r>
            <w:r>
              <w:rPr>
                <w:rFonts w:hint="default" w:ascii="Arial" w:hAnsi="Arial" w:eastAsia="方正楷体_GBK" w:cs="Arial"/>
                <w:sz w:val="28"/>
                <w:szCs w:val="28"/>
              </w:rPr>
              <w:t>√</w:t>
            </w:r>
            <w:r>
              <w:rPr>
                <w:rFonts w:ascii="Times New Roman" w:hAnsi="Times New Roman" w:eastAsia="方正楷体_GBK" w:cs="Times New Roman"/>
                <w:sz w:val="28"/>
                <w:szCs w:val="28"/>
              </w:rPr>
              <w:t xml:space="preserve"> ）；舆论监督报道（   ）</w:t>
            </w:r>
          </w:p>
        </w:tc>
        <w:tc>
          <w:tcPr>
            <w:tcW w:w="1481" w:type="dxa"/>
            <w:vAlign w:val="center"/>
          </w:tcPr>
          <w:p w14:paraId="479ED97C">
            <w:pPr>
              <w:jc w:val="center"/>
              <w:rPr>
                <w:rFonts w:ascii="Times New Roman" w:hAnsi="Times New Roman" w:eastAsia="方正仿宋_GBK" w:cs="Times New Roman"/>
                <w:sz w:val="28"/>
                <w:szCs w:val="28"/>
                <w:lang w:bidi="zh-CN"/>
              </w:rPr>
            </w:pPr>
            <w:r>
              <w:rPr>
                <w:rFonts w:ascii="Times New Roman" w:hAnsi="Times New Roman" w:eastAsia="方正仿宋_GBK" w:cs="Times New Roman"/>
                <w:sz w:val="28"/>
                <w:szCs w:val="28"/>
                <w:lang w:bidi="zh-CN"/>
              </w:rPr>
              <w:t>字数</w:t>
            </w:r>
          </w:p>
          <w:p w14:paraId="65DA04A1">
            <w:pPr>
              <w:jc w:val="center"/>
              <w:rPr>
                <w:rFonts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ascii="Times New Roman" w:hAnsi="Times New Roman" w:eastAsia="方正仿宋_GBK" w:cs="Times New Roman"/>
                <w:sz w:val="28"/>
                <w:szCs w:val="28"/>
                <w:lang w:bidi="zh-CN"/>
              </w:rPr>
              <w:t>（时长）</w:t>
            </w:r>
          </w:p>
        </w:tc>
        <w:tc>
          <w:tcPr>
            <w:tcW w:w="2023" w:type="dxa"/>
            <w:vAlign w:val="center"/>
          </w:tcPr>
          <w:p w14:paraId="0CBAE7D7">
            <w:pPr>
              <w:pStyle w:val="18"/>
              <w:spacing w:before="5" w:line="232" w:lineRule="auto"/>
              <w:ind w:left="107" w:right="22"/>
              <w:jc w:val="center"/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1579字</w:t>
            </w:r>
          </w:p>
        </w:tc>
      </w:tr>
      <w:tr w14:paraId="6787521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1" w:hRule="atLeast"/>
        </w:trPr>
        <w:tc>
          <w:tcPr>
            <w:tcW w:w="1779" w:type="dxa"/>
            <w:vAlign w:val="center"/>
          </w:tcPr>
          <w:p w14:paraId="4510E429">
            <w:pPr>
              <w:pStyle w:val="18"/>
              <w:tabs>
                <w:tab w:val="left" w:pos="520"/>
              </w:tabs>
              <w:spacing w:before="48" w:line="375" w:lineRule="exact"/>
              <w:ind w:left="33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作</w:t>
            </w: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ab/>
            </w: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者</w:t>
            </w:r>
          </w:p>
          <w:p w14:paraId="6AF4622F">
            <w:pPr>
              <w:pStyle w:val="18"/>
              <w:spacing w:line="319" w:lineRule="exact"/>
              <w:ind w:left="9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（主创人员）</w:t>
            </w:r>
          </w:p>
        </w:tc>
        <w:tc>
          <w:tcPr>
            <w:tcW w:w="3508" w:type="dxa"/>
            <w:gridSpan w:val="2"/>
            <w:vAlign w:val="center"/>
          </w:tcPr>
          <w:p w14:paraId="30052AAF">
            <w:pPr>
              <w:pStyle w:val="18"/>
              <w:spacing w:before="5" w:line="232" w:lineRule="auto"/>
              <w:ind w:left="107" w:right="22"/>
              <w:jc w:val="center"/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赵庭兰 王语童 朱申</w:t>
            </w:r>
          </w:p>
          <w:p w14:paraId="28D35BB3">
            <w:pPr>
              <w:pStyle w:val="18"/>
              <w:spacing w:before="5" w:line="232" w:lineRule="auto"/>
              <w:ind w:left="107" w:right="22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话梅（孙盛杰）</w:t>
            </w:r>
          </w:p>
        </w:tc>
        <w:tc>
          <w:tcPr>
            <w:tcW w:w="1536" w:type="dxa"/>
            <w:vAlign w:val="center"/>
          </w:tcPr>
          <w:p w14:paraId="2B6B0082">
            <w:pPr>
              <w:pStyle w:val="18"/>
              <w:spacing w:before="207"/>
              <w:ind w:left="197" w:right="187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编辑</w:t>
            </w:r>
          </w:p>
        </w:tc>
        <w:tc>
          <w:tcPr>
            <w:tcW w:w="3504" w:type="dxa"/>
            <w:gridSpan w:val="2"/>
            <w:vAlign w:val="center"/>
          </w:tcPr>
          <w:p w14:paraId="60A445CE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bookmarkStart w:id="0" w:name="_GoBack"/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仝勋  丁科  李璇</w:t>
            </w:r>
            <w:bookmarkEnd w:id="0"/>
          </w:p>
        </w:tc>
      </w:tr>
      <w:tr w14:paraId="450B425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84" w:hRule="atLeast"/>
        </w:trPr>
        <w:tc>
          <w:tcPr>
            <w:tcW w:w="1779" w:type="dxa"/>
            <w:vAlign w:val="center"/>
          </w:tcPr>
          <w:p w14:paraId="07FE1429">
            <w:pPr>
              <w:pStyle w:val="18"/>
              <w:spacing w:before="200"/>
              <w:ind w:left="213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原创单位</w:t>
            </w:r>
          </w:p>
        </w:tc>
        <w:tc>
          <w:tcPr>
            <w:tcW w:w="3508" w:type="dxa"/>
            <w:gridSpan w:val="2"/>
            <w:vAlign w:val="center"/>
          </w:tcPr>
          <w:p w14:paraId="367E7078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睢宁县融媒体中心</w:t>
            </w:r>
          </w:p>
        </w:tc>
        <w:tc>
          <w:tcPr>
            <w:tcW w:w="1536" w:type="dxa"/>
            <w:vAlign w:val="center"/>
          </w:tcPr>
          <w:p w14:paraId="6140440D">
            <w:pPr>
              <w:pStyle w:val="18"/>
              <w:spacing w:before="200"/>
              <w:ind w:left="197" w:right="187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刊播单位（</w:t>
            </w: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平台</w:t>
            </w: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）</w:t>
            </w:r>
          </w:p>
        </w:tc>
        <w:tc>
          <w:tcPr>
            <w:tcW w:w="3504" w:type="dxa"/>
            <w:gridSpan w:val="2"/>
            <w:vAlign w:val="center"/>
          </w:tcPr>
          <w:p w14:paraId="56222407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“无线睢宁”微信公众号</w:t>
            </w:r>
          </w:p>
        </w:tc>
      </w:tr>
      <w:tr w14:paraId="034F307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5" w:hRule="atLeast"/>
        </w:trPr>
        <w:tc>
          <w:tcPr>
            <w:tcW w:w="1779" w:type="dxa"/>
            <w:vAlign w:val="center"/>
          </w:tcPr>
          <w:p w14:paraId="28E86F88">
            <w:pPr>
              <w:pStyle w:val="18"/>
              <w:spacing w:before="22"/>
              <w:ind w:left="213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刊播版面</w:t>
            </w:r>
          </w:p>
          <w:p w14:paraId="0DBC73F2">
            <w:pPr>
              <w:pStyle w:val="18"/>
              <w:spacing w:before="24" w:line="298" w:lineRule="exact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pacing w:val="-13"/>
                <w:w w:val="95"/>
                <w:sz w:val="28"/>
                <w:szCs w:val="28"/>
              </w:rPr>
              <w:t>（</w:t>
            </w:r>
            <w:r>
              <w:rPr>
                <w:rFonts w:hint="default" w:ascii="Times New Roman" w:hAnsi="Times New Roman" w:eastAsia="方正仿宋_GBK" w:cs="Times New Roman"/>
                <w:spacing w:val="-21"/>
                <w:w w:val="95"/>
                <w:sz w:val="28"/>
                <w:szCs w:val="28"/>
              </w:rPr>
              <w:t>名称和版次</w:t>
            </w:r>
            <w:r>
              <w:rPr>
                <w:rFonts w:hint="default" w:ascii="Times New Roman" w:hAnsi="Times New Roman" w:eastAsia="方正仿宋_GBK" w:cs="Times New Roman"/>
                <w:spacing w:val="-13"/>
                <w:w w:val="95"/>
                <w:sz w:val="28"/>
                <w:szCs w:val="28"/>
              </w:rPr>
              <w:t>）</w:t>
            </w:r>
          </w:p>
        </w:tc>
        <w:tc>
          <w:tcPr>
            <w:tcW w:w="3508" w:type="dxa"/>
            <w:gridSpan w:val="2"/>
            <w:vAlign w:val="center"/>
          </w:tcPr>
          <w:p w14:paraId="09815C1B">
            <w:pPr>
              <w:pStyle w:val="18"/>
              <w:spacing w:before="122" w:line="232" w:lineRule="auto"/>
              <w:ind w:left="107" w:right="22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</w:p>
        </w:tc>
        <w:tc>
          <w:tcPr>
            <w:tcW w:w="1536" w:type="dxa"/>
            <w:vAlign w:val="center"/>
          </w:tcPr>
          <w:p w14:paraId="4F6CE1A4">
            <w:pPr>
              <w:pStyle w:val="18"/>
              <w:spacing w:before="192"/>
              <w:ind w:left="197" w:right="187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刊播日期</w:t>
            </w:r>
          </w:p>
        </w:tc>
        <w:tc>
          <w:tcPr>
            <w:tcW w:w="3504" w:type="dxa"/>
            <w:gridSpan w:val="2"/>
            <w:vAlign w:val="center"/>
          </w:tcPr>
          <w:p w14:paraId="1120CC43">
            <w:pPr>
              <w:pStyle w:val="18"/>
              <w:spacing w:before="122" w:line="232" w:lineRule="auto"/>
              <w:ind w:left="106" w:right="64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eastAsia" w:ascii="仿宋_GB2312" w:hAnsi="仿宋_GB2312" w:eastAsia="仿宋_GB2312" w:cs="仿宋_GB2312"/>
                <w:sz w:val="28"/>
                <w:szCs w:val="28"/>
                <w:lang w:val="en-US" w:eastAsia="zh-CN" w:bidi="ar-SA"/>
              </w:rPr>
              <w:t>2024年11月26日</w:t>
            </w:r>
          </w:p>
        </w:tc>
      </w:tr>
      <w:tr w14:paraId="733BFD3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42" w:hRule="atLeast"/>
        </w:trPr>
        <w:tc>
          <w:tcPr>
            <w:tcW w:w="3126" w:type="dxa"/>
            <w:gridSpan w:val="2"/>
            <w:tcBorders>
              <w:right w:val="single" w:color="000000" w:sz="6" w:space="0"/>
            </w:tcBorders>
          </w:tcPr>
          <w:p w14:paraId="033D1460">
            <w:pPr>
              <w:pStyle w:val="18"/>
              <w:spacing w:before="216"/>
              <w:ind w:left="107"/>
              <w:jc w:val="both"/>
              <w:rPr>
                <w:rFonts w:hint="default" w:ascii="Times New Roman" w:hAnsi="Times New Roman" w:eastAsia="方正仿宋_GBK" w:cs="Times New Roman"/>
                <w:w w:val="95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w w:val="95"/>
                <w:sz w:val="28"/>
                <w:szCs w:val="28"/>
              </w:rPr>
              <w:t>新媒体作品填报网址</w:t>
            </w:r>
          </w:p>
        </w:tc>
        <w:tc>
          <w:tcPr>
            <w:tcW w:w="7201" w:type="dxa"/>
            <w:gridSpan w:val="4"/>
            <w:tcBorders>
              <w:left w:val="single" w:color="000000" w:sz="6" w:space="0"/>
            </w:tcBorders>
          </w:tcPr>
          <w:p w14:paraId="7F43AC75">
            <w:pPr>
              <w:pStyle w:val="18"/>
              <w:spacing w:before="216"/>
              <w:ind w:left="107"/>
              <w:jc w:val="both"/>
              <w:rPr>
                <w:rFonts w:hint="default" w:ascii="Times New Roman" w:hAnsi="Times New Roman" w:eastAsia="方正仿宋_GBK" w:cs="Times New Roman"/>
                <w:w w:val="95"/>
                <w:sz w:val="28"/>
                <w:szCs w:val="28"/>
                <w:lang w:val="en-US" w:eastAsia="zh-CN"/>
              </w:rPr>
            </w:pPr>
            <w:r>
              <w:rPr>
                <w:rFonts w:hint="default" w:ascii="Times New Roman" w:hAnsi="Times New Roman" w:eastAsia="方正仿宋_GBK" w:cs="Times New Roman"/>
                <w:w w:val="95"/>
                <w:sz w:val="28"/>
                <w:szCs w:val="28"/>
              </w:rPr>
              <w:fldChar w:fldCharType="begin"/>
            </w:r>
            <w:r>
              <w:rPr>
                <w:rFonts w:hint="default" w:ascii="Times New Roman" w:hAnsi="Times New Roman" w:eastAsia="方正仿宋_GBK" w:cs="Times New Roman"/>
                <w:w w:val="95"/>
                <w:sz w:val="28"/>
                <w:szCs w:val="28"/>
              </w:rPr>
              <w:instrText xml:space="preserve"> HYPERLINK "https://mp.weixin.qq.com/s/5X91XikQCDzIyi4R9YPgWw" </w:instrText>
            </w:r>
            <w:r>
              <w:rPr>
                <w:rFonts w:hint="default" w:ascii="Times New Roman" w:hAnsi="Times New Roman" w:eastAsia="方正仿宋_GBK" w:cs="Times New Roman"/>
                <w:w w:val="95"/>
                <w:sz w:val="28"/>
                <w:szCs w:val="28"/>
              </w:rPr>
              <w:fldChar w:fldCharType="separate"/>
            </w:r>
            <w:r>
              <w:rPr>
                <w:rStyle w:val="16"/>
                <w:rFonts w:hint="default" w:ascii="Times New Roman" w:hAnsi="Times New Roman" w:eastAsia="方正仿宋_GBK" w:cs="Times New Roman"/>
                <w:w w:val="95"/>
                <w:sz w:val="28"/>
                <w:szCs w:val="28"/>
              </w:rPr>
              <w:t>h</w:t>
            </w:r>
            <w:r>
              <w:rPr>
                <w:rStyle w:val="16"/>
                <w:rFonts w:hint="default" w:ascii="Times New Roman" w:hAnsi="Times New Roman" w:eastAsia="方正仿宋_GBK" w:cs="Times New Roman"/>
                <w:w w:val="95"/>
                <w:sz w:val="28"/>
                <w:szCs w:val="28"/>
                <w:lang w:val="en-US" w:eastAsia="zh-CN"/>
              </w:rPr>
              <w:t>ttps://mp.weixin.qq.com/s/5X91XikQCDzIyi4R9YPgWw</w:t>
            </w:r>
            <w:r>
              <w:rPr>
                <w:rFonts w:hint="default" w:ascii="Times New Roman" w:hAnsi="Times New Roman" w:eastAsia="方正仿宋_GBK" w:cs="Times New Roman"/>
                <w:w w:val="95"/>
                <w:sz w:val="28"/>
                <w:szCs w:val="28"/>
              </w:rPr>
              <w:fldChar w:fldCharType="end"/>
            </w:r>
          </w:p>
        </w:tc>
      </w:tr>
      <w:tr w14:paraId="4EF97CE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46" w:hRule="atLeast"/>
        </w:trPr>
        <w:tc>
          <w:tcPr>
            <w:tcW w:w="1779" w:type="dxa"/>
            <w:textDirection w:val="tbLrV"/>
            <w:vAlign w:val="center"/>
          </w:tcPr>
          <w:p w14:paraId="0C98FF74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采编过程</w:t>
            </w:r>
          </w:p>
          <w:p w14:paraId="74C95F7E">
            <w:pPr>
              <w:pStyle w:val="18"/>
              <w:jc w:val="center"/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文字简</w:t>
            </w: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介</w:t>
            </w:r>
          </w:p>
        </w:tc>
        <w:tc>
          <w:tcPr>
            <w:tcW w:w="8548" w:type="dxa"/>
            <w:gridSpan w:val="5"/>
            <w:vAlign w:val="center"/>
          </w:tcPr>
          <w:p w14:paraId="4BB80E55">
            <w:pPr>
              <w:pStyle w:val="18"/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560" w:firstLineChars="200"/>
              <w:jc w:val="lef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未成年人保护工作一直是全社会关注的热点话题。在睢宁县姚集中学“防校园欺凌预警系统”正式接入公安报警系统当天，采编团队深入姚集中学，实地探访“防校园欺凌预警系统”的实际运作，见证其精准防护、填补校园“安全盲区”的效果。在此基础上，记者对该校的未成年人保护工作进行了延伸报道，全面了解了法治教育进校园、鹿鸣工作室建设等方面对未成年人保护工作带来的推进作用。通过多方取材、由点到面，报道全面呈现了姚集镇全方位守护未成年人成长的扎实举措。</w:t>
            </w:r>
          </w:p>
          <w:p w14:paraId="19C4853F">
            <w:pPr>
              <w:pStyle w:val="18"/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560" w:firstLineChars="200"/>
              <w:jc w:val="left"/>
              <w:textAlignment w:val="auto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本作品发布后，推文点击量达1.2万次，转发量172次。</w:t>
            </w:r>
          </w:p>
        </w:tc>
      </w:tr>
      <w:tr w14:paraId="603B904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51" w:hRule="atLeast"/>
        </w:trPr>
        <w:tc>
          <w:tcPr>
            <w:tcW w:w="1779" w:type="dxa"/>
            <w:textDirection w:val="tbLrV"/>
            <w:vAlign w:val="center"/>
          </w:tcPr>
          <w:p w14:paraId="61B72F8A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社会效果</w:t>
            </w:r>
          </w:p>
        </w:tc>
        <w:tc>
          <w:tcPr>
            <w:tcW w:w="8548" w:type="dxa"/>
            <w:gridSpan w:val="5"/>
            <w:vAlign w:val="center"/>
          </w:tcPr>
          <w:p w14:paraId="644C299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firstLine="560" w:firstLineChars="200"/>
              <w:jc w:val="left"/>
              <w:textAlignment w:val="auto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微信推文和相关短视频被徐报教育、扬子晚报等多家媒体转载引用，引发社会广泛关注。特别是</w:t>
            </w: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姚集中学“防校园欺凌预警系统”</w:t>
            </w: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实现了与公安报警系统的及时联动，</w:t>
            </w: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对各地校园安全建设</w:t>
            </w: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提供了范例。</w:t>
            </w:r>
          </w:p>
        </w:tc>
      </w:tr>
      <w:tr w14:paraId="691ECE0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10" w:hRule="atLeast"/>
        </w:trPr>
        <w:tc>
          <w:tcPr>
            <w:tcW w:w="1779" w:type="dxa"/>
            <w:textDirection w:val="tbLrV"/>
            <w:vAlign w:val="center"/>
          </w:tcPr>
          <w:p w14:paraId="64C07F4F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初级评语</w:t>
            </w:r>
          </w:p>
          <w:p w14:paraId="1445FBA5">
            <w:pPr>
              <w:pStyle w:val="18"/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（推荐理由）</w:t>
            </w:r>
          </w:p>
        </w:tc>
        <w:tc>
          <w:tcPr>
            <w:tcW w:w="8548" w:type="dxa"/>
            <w:gridSpan w:val="5"/>
            <w:vAlign w:val="center"/>
          </w:tcPr>
          <w:p w14:paraId="567CE89A">
            <w:pPr>
              <w:pStyle w:val="18"/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ind w:right="119" w:firstLine="560" w:firstLineChars="200"/>
              <w:textAlignment w:val="auto"/>
              <w:rPr>
                <w:rFonts w:hint="eastAsia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该</w:t>
            </w:r>
            <w:r>
              <w:rPr>
                <w:rFonts w:hint="default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报道选题精准且极具现实意义，直击校园</w:t>
            </w:r>
            <w:r>
              <w:rPr>
                <w:rFonts w:hint="eastAsia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霸凌</w:t>
            </w:r>
            <w:r>
              <w:rPr>
                <w:rFonts w:hint="default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未成年人保护难</w:t>
            </w:r>
            <w:r>
              <w:rPr>
                <w:rFonts w:hint="eastAsia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点，多角度展现了基层在未成年人保护方面的创新及成果，</w:t>
            </w:r>
            <w:r>
              <w:rPr>
                <w:rFonts w:hint="default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对各地未成年人保护工作</w:t>
            </w:r>
            <w:r>
              <w:rPr>
                <w:rFonts w:hint="eastAsia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具有参照和借鉴意义，</w:t>
            </w:r>
            <w:r>
              <w:rPr>
                <w:rFonts w:hint="default" w:ascii="Times New Roman" w:hAnsi="Times New Roman" w:eastAsia="方正仿宋_GBK" w:cs="Times New Roman"/>
                <w:color w:val="auto"/>
                <w:kern w:val="2"/>
                <w:sz w:val="28"/>
                <w:szCs w:val="28"/>
                <w:lang w:val="en-US" w:eastAsia="zh-CN" w:bidi="ar-SA"/>
              </w:rPr>
              <w:t>值得推荐。</w:t>
            </w:r>
          </w:p>
          <w:p w14:paraId="78888F81">
            <w:pPr>
              <w:pStyle w:val="18"/>
              <w:tabs>
                <w:tab w:val="left" w:pos="6754"/>
                <w:tab w:val="left" w:pos="7314"/>
              </w:tabs>
              <w:spacing w:line="230" w:lineRule="auto"/>
              <w:ind w:left="5429" w:right="1038" w:firstLine="71"/>
              <w:jc w:val="both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/>
              </w:rPr>
              <w:t>签名</w:t>
            </w:r>
          </w:p>
          <w:p w14:paraId="06146A75">
            <w:pPr>
              <w:pStyle w:val="18"/>
              <w:tabs>
                <w:tab w:val="left" w:pos="6754"/>
                <w:tab w:val="left" w:pos="7314"/>
              </w:tabs>
              <w:spacing w:line="230" w:lineRule="auto"/>
              <w:ind w:right="1038"/>
              <w:jc w:val="right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（盖单</w:t>
            </w:r>
            <w:r>
              <w:rPr>
                <w:rFonts w:hint="default" w:ascii="Times New Roman" w:hAnsi="Times New Roman" w:eastAsia="方正仿宋_GBK" w:cs="Times New Roman"/>
                <w:spacing w:val="-3"/>
                <w:sz w:val="28"/>
                <w:szCs w:val="28"/>
              </w:rPr>
              <w:t>位</w:t>
            </w:r>
            <w:r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  <w:t>公章）</w:t>
            </w:r>
          </w:p>
          <w:p w14:paraId="7A3586E8">
            <w:pPr>
              <w:pStyle w:val="18"/>
              <w:tabs>
                <w:tab w:val="left" w:pos="6754"/>
                <w:tab w:val="left" w:pos="7314"/>
              </w:tabs>
              <w:spacing w:line="230" w:lineRule="auto"/>
              <w:ind w:right="1038"/>
              <w:jc w:val="right"/>
              <w:rPr>
                <w:rFonts w:hint="default"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hint="default" w:ascii="Times New Roman" w:hAnsi="Times New Roman" w:eastAsia="方正仿宋_GBK" w:cs="Times New Roman"/>
                <w:w w:val="115"/>
                <w:sz w:val="28"/>
                <w:szCs w:val="28"/>
                <w:lang w:val="en-US"/>
              </w:rPr>
              <w:t xml:space="preserve">年  </w:t>
            </w:r>
            <w:r>
              <w:rPr>
                <w:rFonts w:hint="default" w:ascii="Times New Roman" w:hAnsi="Times New Roman" w:eastAsia="方正仿宋_GBK" w:cs="Times New Roman"/>
                <w:w w:val="115"/>
                <w:sz w:val="28"/>
                <w:szCs w:val="28"/>
              </w:rPr>
              <w:t>月</w:t>
            </w:r>
            <w:r>
              <w:rPr>
                <w:rFonts w:hint="default" w:ascii="Times New Roman" w:hAnsi="Times New Roman" w:eastAsia="方正仿宋_GBK" w:cs="Times New Roman"/>
                <w:w w:val="115"/>
                <w:sz w:val="28"/>
                <w:szCs w:val="28"/>
                <w:lang w:val="en-US"/>
              </w:rPr>
              <w:t xml:space="preserve">  </w:t>
            </w:r>
            <w:r>
              <w:rPr>
                <w:rFonts w:hint="default" w:ascii="Times New Roman" w:hAnsi="Times New Roman" w:eastAsia="方正仿宋_GBK" w:cs="Times New Roman"/>
                <w:spacing w:val="-19"/>
                <w:sz w:val="28"/>
                <w:szCs w:val="28"/>
              </w:rPr>
              <w:t>日</w:t>
            </w:r>
          </w:p>
        </w:tc>
      </w:tr>
      <w:tr w14:paraId="54A2388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 w:hRule="atLeast"/>
        </w:trPr>
        <w:tc>
          <w:tcPr>
            <w:tcW w:w="1779" w:type="dxa"/>
            <w:vMerge w:val="restart"/>
            <w:vAlign w:val="center"/>
          </w:tcPr>
          <w:p w14:paraId="2A02B8D8">
            <w:pPr>
              <w:jc w:val="center"/>
              <w:rPr>
                <w:rFonts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ascii="Times New Roman" w:hAnsi="Times New Roman" w:eastAsia="方正仿宋_GBK" w:cs="Times New Roman"/>
                <w:sz w:val="28"/>
                <w:szCs w:val="28"/>
                <w:lang w:val="zh-CN" w:bidi="zh-CN"/>
              </w:rPr>
              <w:t>联系人</w:t>
            </w:r>
          </w:p>
        </w:tc>
        <w:tc>
          <w:tcPr>
            <w:tcW w:w="3508" w:type="dxa"/>
            <w:gridSpan w:val="2"/>
            <w:vMerge w:val="restart"/>
            <w:vAlign w:val="center"/>
          </w:tcPr>
          <w:p w14:paraId="395B4AF6">
            <w:pPr>
              <w:jc w:val="center"/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仝勋</w:t>
            </w:r>
          </w:p>
        </w:tc>
        <w:tc>
          <w:tcPr>
            <w:tcW w:w="1536" w:type="dxa"/>
            <w:vAlign w:val="center"/>
          </w:tcPr>
          <w:p w14:paraId="487BD20B">
            <w:pPr>
              <w:jc w:val="center"/>
              <w:rPr>
                <w:rFonts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ascii="Times New Roman" w:hAnsi="Times New Roman" w:eastAsia="方正仿宋_GBK" w:cs="Times New Roman"/>
                <w:sz w:val="28"/>
                <w:szCs w:val="28"/>
                <w:lang w:bidi="zh-CN"/>
              </w:rPr>
              <w:t>手机号码</w:t>
            </w:r>
          </w:p>
        </w:tc>
        <w:tc>
          <w:tcPr>
            <w:tcW w:w="3504" w:type="dxa"/>
            <w:gridSpan w:val="2"/>
            <w:vAlign w:val="center"/>
          </w:tcPr>
          <w:p w14:paraId="31EF81D1">
            <w:pPr>
              <w:tabs>
                <w:tab w:val="left" w:pos="732"/>
              </w:tabs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Times New Roman" w:hAnsi="Times New Roman" w:eastAsia="方正仿宋_GBK" w:cs="Times New Roman"/>
                <w:sz w:val="28"/>
                <w:szCs w:val="28"/>
                <w:lang w:val="en-US" w:eastAsia="zh-CN"/>
              </w:rPr>
              <w:t>15852050097</w:t>
            </w:r>
          </w:p>
        </w:tc>
      </w:tr>
      <w:tr w14:paraId="0897F58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 w:hRule="atLeast"/>
        </w:trPr>
        <w:tc>
          <w:tcPr>
            <w:tcW w:w="1779" w:type="dxa"/>
            <w:vMerge w:val="continue"/>
            <w:vAlign w:val="center"/>
          </w:tcPr>
          <w:p w14:paraId="272C5EF8">
            <w:pPr>
              <w:jc w:val="center"/>
              <w:rPr>
                <w:rFonts w:ascii="Times New Roman" w:hAnsi="Times New Roman" w:eastAsia="方正仿宋_GBK" w:cs="Times New Roman"/>
                <w:sz w:val="28"/>
                <w:szCs w:val="28"/>
              </w:rPr>
            </w:pPr>
          </w:p>
        </w:tc>
        <w:tc>
          <w:tcPr>
            <w:tcW w:w="3508" w:type="dxa"/>
            <w:gridSpan w:val="2"/>
            <w:vMerge w:val="continue"/>
            <w:vAlign w:val="center"/>
          </w:tcPr>
          <w:p w14:paraId="1E88AC4C">
            <w:pPr>
              <w:jc w:val="center"/>
              <w:rPr>
                <w:rFonts w:ascii="Times New Roman" w:hAnsi="Times New Roman" w:eastAsia="方正仿宋_GBK" w:cs="Times New Roman"/>
                <w:sz w:val="28"/>
                <w:szCs w:val="28"/>
              </w:rPr>
            </w:pPr>
          </w:p>
        </w:tc>
        <w:tc>
          <w:tcPr>
            <w:tcW w:w="1536" w:type="dxa"/>
            <w:vAlign w:val="center"/>
          </w:tcPr>
          <w:p w14:paraId="6B8F2B16">
            <w:pPr>
              <w:jc w:val="center"/>
              <w:rPr>
                <w:rFonts w:ascii="Times New Roman" w:hAnsi="Times New Roman" w:eastAsia="方正仿宋_GBK" w:cs="Times New Roman"/>
                <w:sz w:val="28"/>
                <w:szCs w:val="28"/>
              </w:rPr>
            </w:pPr>
            <w:r>
              <w:rPr>
                <w:rFonts w:ascii="Times New Roman" w:hAnsi="Times New Roman" w:eastAsia="方正仿宋_GBK" w:cs="Times New Roman"/>
                <w:sz w:val="28"/>
                <w:szCs w:val="28"/>
                <w:lang w:bidi="zh-CN"/>
              </w:rPr>
              <w:t>办公电话</w:t>
            </w:r>
          </w:p>
        </w:tc>
        <w:tc>
          <w:tcPr>
            <w:tcW w:w="3504" w:type="dxa"/>
            <w:gridSpan w:val="2"/>
            <w:vAlign w:val="center"/>
          </w:tcPr>
          <w:p w14:paraId="4BC719BC">
            <w:pPr>
              <w:jc w:val="center"/>
              <w:rPr>
                <w:rFonts w:hint="default" w:ascii="Times New Roman" w:hAnsi="Times New Roman" w:eastAsia="方正仿宋_GBK" w:cs="Times New Roman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8"/>
                <w:szCs w:val="24"/>
                <w:lang w:val="en-US" w:eastAsia="zh-CN"/>
              </w:rPr>
              <w:t>0516-80376658</w:t>
            </w:r>
          </w:p>
        </w:tc>
      </w:tr>
    </w:tbl>
    <w:p w14:paraId="641376CD">
      <w:pPr>
        <w:spacing w:after="156" w:line="360" w:lineRule="exact"/>
        <w:rPr>
          <w:rFonts w:ascii="Times New Roman" w:hAnsi="Times New Roman" w:eastAsia="楷体" w:cs="Times New Roman"/>
          <w:b/>
          <w:bCs/>
          <w:sz w:val="30"/>
          <w:szCs w:val="30"/>
          <w:lang w:val="zh-TW" w:eastAsia="zh-TW"/>
        </w:rPr>
        <w:sectPr>
          <w:pgSz w:w="11900" w:h="16840"/>
          <w:pgMar w:top="1440" w:right="1800" w:bottom="1843" w:left="1800" w:header="851" w:footer="992" w:gutter="0"/>
          <w:cols w:space="720" w:num="1"/>
        </w:sectPr>
      </w:pPr>
    </w:p>
    <w:p w14:paraId="3B613846">
      <w:pPr>
        <w:jc w:val="center"/>
        <w:rPr>
          <w:rFonts w:hint="eastAsia" w:ascii="方正公文小标宋" w:hAnsi="方正公文小标宋" w:eastAsia="方正公文小标宋" w:cs="方正公文小标宋"/>
          <w:sz w:val="32"/>
          <w:szCs w:val="32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sz w:val="32"/>
          <w:szCs w:val="32"/>
          <w:lang w:val="en-US" w:eastAsia="zh-CN"/>
        </w:rPr>
        <w:t>睢宁一学校在厕所装报警器！原因是……</w:t>
      </w:r>
    </w:p>
    <w:p w14:paraId="257D3423">
      <w:pPr>
        <w:spacing w:after="156" w:line="360" w:lineRule="exact"/>
        <w:jc w:val="center"/>
        <w:rPr>
          <w:rFonts w:hint="eastAsia" w:ascii="宋体" w:hAnsi="宋体" w:eastAsia="宋体" w:cs="宋体"/>
          <w:color w:val="0C0C0C"/>
          <w:spacing w:val="8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color w:val="0C0C0C"/>
          <w:spacing w:val="8"/>
          <w:kern w:val="0"/>
          <w:sz w:val="24"/>
          <w:szCs w:val="24"/>
          <w:lang w:val="en-US" w:eastAsia="zh-CN" w:bidi="ar"/>
        </w:rPr>
        <w:t>（</w:t>
      </w:r>
      <w:r>
        <w:rPr>
          <w:rFonts w:ascii="Times New Roman" w:hAnsi="Times New Roman" w:eastAsia="仿宋_GB2312" w:cs="Times New Roman"/>
          <w:kern w:val="0"/>
          <w:sz w:val="28"/>
          <w:szCs w:val="28"/>
          <w:lang w:val="zh-TW" w:eastAsia="zh-TW"/>
        </w:rPr>
        <w:t>首屏打印页</w:t>
      </w:r>
      <w:r>
        <w:rPr>
          <w:rFonts w:hint="eastAsia" w:ascii="宋体" w:hAnsi="宋体" w:eastAsia="宋体" w:cs="宋体"/>
          <w:color w:val="0C0C0C"/>
          <w:spacing w:val="8"/>
          <w:kern w:val="0"/>
          <w:sz w:val="24"/>
          <w:szCs w:val="24"/>
          <w:lang w:val="en-US" w:eastAsia="zh-CN" w:bidi="ar"/>
        </w:rPr>
        <w:t>）</w:t>
      </w:r>
    </w:p>
    <w:p w14:paraId="3E298F5A">
      <w:pPr>
        <w:jc w:val="center"/>
        <w:rPr>
          <w:rFonts w:hint="default" w:ascii="Times New Roman" w:hAnsi="Times New Roman" w:eastAsia="方正仿宋_GBK" w:cs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 w:eastAsia="方正仿宋_GBK" w:cs="Times New Roman"/>
          <w:sz w:val="28"/>
          <w:szCs w:val="28"/>
          <w:lang w:val="en-US" w:eastAsia="zh-CN"/>
        </w:rPr>
        <w:drawing>
          <wp:inline distT="0" distB="0" distL="114300" distR="114300">
            <wp:extent cx="3568065" cy="7732395"/>
            <wp:effectExtent l="0" t="0" r="13335" b="1905"/>
            <wp:docPr id="1" name="图片 1" descr="6ebf2644904e71f85e63914b133fd4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ebf2644904e71f85e63914b133fd4a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68065" cy="773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58773">
      <w:pPr>
        <w:jc w:val="center"/>
        <w:rPr>
          <w:rFonts w:hint="eastAsia" w:ascii="方正公文小标宋" w:hAnsi="方正公文小标宋" w:eastAsia="方正公文小标宋" w:cs="方正公文小标宋"/>
          <w:sz w:val="32"/>
          <w:szCs w:val="32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sz w:val="32"/>
          <w:szCs w:val="32"/>
          <w:lang w:val="en-US" w:eastAsia="zh-CN"/>
        </w:rPr>
        <w:t>睢宁一学校在厕所装报警器！原因是……</w:t>
      </w:r>
    </w:p>
    <w:p w14:paraId="38C7B4C9">
      <w:pPr>
        <w:spacing w:after="156" w:line="360" w:lineRule="exact"/>
        <w:jc w:val="center"/>
        <w:rPr>
          <w:rFonts w:hint="eastAsia" w:ascii="宋体" w:hAnsi="宋体" w:eastAsia="宋体" w:cs="宋体"/>
          <w:color w:val="0C0C0C"/>
          <w:spacing w:val="8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color w:val="0C0C0C"/>
          <w:spacing w:val="8"/>
          <w:kern w:val="0"/>
          <w:sz w:val="24"/>
          <w:szCs w:val="24"/>
          <w:lang w:val="en-US" w:eastAsia="zh-CN" w:bidi="ar"/>
        </w:rPr>
        <w:t>（</w:t>
      </w:r>
      <w:r>
        <w:rPr>
          <w:rFonts w:hint="eastAsia" w:ascii="Times New Roman" w:hAnsi="Times New Roman" w:eastAsia="仿宋_GB2312" w:cs="Times New Roman"/>
          <w:kern w:val="0"/>
          <w:sz w:val="28"/>
          <w:szCs w:val="28"/>
          <w:lang w:val="en-US" w:eastAsia="zh-CN"/>
        </w:rPr>
        <w:t>完整文字稿</w:t>
      </w:r>
      <w:r>
        <w:rPr>
          <w:rFonts w:hint="eastAsia" w:ascii="宋体" w:hAnsi="宋体" w:eastAsia="宋体" w:cs="宋体"/>
          <w:color w:val="0C0C0C"/>
          <w:spacing w:val="8"/>
          <w:kern w:val="0"/>
          <w:sz w:val="24"/>
          <w:szCs w:val="24"/>
          <w:lang w:val="en-US" w:eastAsia="zh-CN" w:bidi="ar"/>
        </w:rPr>
        <w:t>）</w:t>
      </w:r>
    </w:p>
    <w:p w14:paraId="1AC01765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老师，打架了！</w:t>
      </w:r>
    </w:p>
    <w:p w14:paraId="2F65B8DF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正在呼叫——正在呼叫中心，请稍后——</w:t>
      </w:r>
    </w:p>
    <w:p w14:paraId="74970CD3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z w:val="25"/>
          <w:szCs w:val="25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此刻呈现在大家眼前的，</w:t>
      </w:r>
    </w:p>
    <w:p w14:paraId="0824C7A5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z w:val="25"/>
          <w:szCs w:val="25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是姚集中学“防校园欺凌预警系统”</w:t>
      </w:r>
    </w:p>
    <w:p w14:paraId="530380C1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z w:val="25"/>
          <w:szCs w:val="25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的实际运作场景。今天该系统正式接入公安报警网络。</w:t>
      </w:r>
    </w:p>
    <w:p w14:paraId="2FD926AE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exact"/>
        <w:jc w:val="left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</w:p>
    <w:p w14:paraId="4EAE6C29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对于未成年人的保护，</w:t>
      </w:r>
    </w:p>
    <w:p w14:paraId="2F9AD64E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一直牵动着所有人的心弦。</w:t>
      </w:r>
    </w:p>
    <w:p w14:paraId="7053A80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exact"/>
        <w:jc w:val="left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</w:p>
    <w:p w14:paraId="112C2767">
      <w:pPr>
        <w:pStyle w:val="11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FFFFFF" w:sz="6" w:space="2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textAlignment w:val="auto"/>
        <w:rPr>
          <w:rFonts w:hint="eastAsia" w:ascii="方正仿宋_GBK" w:hAnsi="方正仿宋_GBK" w:eastAsia="方正仿宋_GBK" w:cs="方正仿宋_GBK"/>
          <w:b/>
          <w:bCs/>
          <w:color w:val="auto"/>
          <w:spacing w:val="23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/>
          <w:bCs/>
          <w:color w:val="auto"/>
          <w:spacing w:val="23"/>
          <w:sz w:val="24"/>
          <w:szCs w:val="24"/>
        </w:rPr>
        <w:t>科技助力校园安全，精准防护无死角</w:t>
      </w:r>
    </w:p>
    <w:p w14:paraId="6F61C35F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校园安全是未成年人保护的重要环节。</w:t>
      </w:r>
    </w:p>
    <w:p w14:paraId="6D70BB63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姚集中学现有在校学生</w:t>
      </w: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1236人</w:t>
      </w: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，</w:t>
      </w:r>
    </w:p>
    <w:p w14:paraId="7194E365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其中</w:t>
      </w: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留守儿童411人</w:t>
      </w: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、</w:t>
      </w: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住宿生807人</w:t>
      </w: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，</w:t>
      </w:r>
    </w:p>
    <w:p w14:paraId="141960DA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特殊的学生构成给学校管理带来了巨大挑战。</w:t>
      </w:r>
    </w:p>
    <w:p w14:paraId="1934F1D8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姚集镇创新采用科技手段，</w:t>
      </w:r>
    </w:p>
    <w:p w14:paraId="7803C7CF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在姚集中学启用“防校园欺凌预警系统”。</w:t>
      </w:r>
    </w:p>
    <w:p w14:paraId="3BBF167C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ind w:firstLine="540" w:firstLineChars="200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学校购置了20台系统设备，安装在宿舍、卫生间等存在安全隐患且涉及学生隐私、不便安装摄像头的区域。该系统可精准识别求救和谩骂语句，例如“老师，救命”“我要报警”等关键词，一旦被触发，便能迅速发出警报，填补校园内的“安全盲区”。</w:t>
      </w:r>
    </w:p>
    <w:p w14:paraId="22CCE151">
      <w:pPr>
        <w:pStyle w:val="11"/>
        <w:keepNext w:val="0"/>
        <w:keepLines w:val="0"/>
        <w:widowControl/>
        <w:suppressLineNumbers w:val="0"/>
        <w:jc w:val="center"/>
      </w:pPr>
      <w:r>
        <w:drawing>
          <wp:inline distT="0" distB="0" distL="114300" distR="114300">
            <wp:extent cx="4055110" cy="3041650"/>
            <wp:effectExtent l="0" t="0" r="2540" b="6350"/>
            <wp:docPr id="10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55110" cy="3041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BAA0A57">
      <w:pPr>
        <w:pStyle w:val="11"/>
        <w:keepNext w:val="0"/>
        <w:keepLines w:val="0"/>
        <w:widowControl/>
        <w:suppressLineNumbers w:val="0"/>
        <w:spacing w:after="225" w:afterAutospacing="0" w:line="420" w:lineRule="atLeast"/>
        <w:jc w:val="center"/>
      </w:pPr>
      <w:r>
        <w:rPr>
          <w:vertAlign w:val="baseline"/>
        </w:rPr>
        <w:drawing>
          <wp:inline distT="0" distB="0" distL="114300" distR="114300">
            <wp:extent cx="2955290" cy="3994785"/>
            <wp:effectExtent l="0" t="0" r="16510" b="5715"/>
            <wp:docPr id="8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55290" cy="3994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1465303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ind w:firstLine="540" w:firstLineChars="200"/>
        <w:jc w:val="left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“当学生触发系统时，绑定学校值班人员以及教干的手机会立即收到警报，并根据提示的时间、地点信息，快速赶往现场处置突发情况，学生间的小矛盾、小摩擦能够得到及时化解，有效避免矛盾升级。”姚集中学党支部书记、校长徐刚告诉记者，在他看来，这一系统不仅起到报警作用，其存在本身也对学生起到震慑效果。</w:t>
      </w:r>
    </w:p>
    <w:p w14:paraId="2FC5A325">
      <w:pPr>
        <w:pStyle w:val="11"/>
        <w:keepNext w:val="0"/>
        <w:keepLines w:val="0"/>
        <w:widowControl/>
        <w:suppressLineNumbers w:val="0"/>
        <w:spacing w:after="225" w:afterAutospacing="0" w:line="420" w:lineRule="atLeast"/>
        <w:jc w:val="center"/>
      </w:pPr>
      <w:r>
        <w:rPr>
          <w:rFonts w:hint="eastAsia" w:ascii="微软雅黑" w:hAnsi="微软雅黑" w:eastAsia="微软雅黑" w:cs="微软雅黑"/>
          <w:color w:val="000000"/>
          <w:spacing w:val="15"/>
          <w:sz w:val="24"/>
          <w:szCs w:val="24"/>
          <w:shd w:val="clear" w:fill="FFFFFF"/>
          <w:vertAlign w:val="baseline"/>
        </w:rPr>
        <w:drawing>
          <wp:inline distT="0" distB="0" distL="114300" distR="114300">
            <wp:extent cx="3556635" cy="1999615"/>
            <wp:effectExtent l="0" t="0" r="5715" b="635"/>
            <wp:docPr id="4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6635" cy="1999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FE9C1A0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ind w:firstLine="540" w:firstLineChars="200"/>
        <w:jc w:val="left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自“防校园欺凌预警系统”安装以来，学校纪律安全方面有明显提升，效果显著。</w:t>
      </w:r>
    </w:p>
    <w:p w14:paraId="34911508">
      <w:pPr>
        <w:keepNext w:val="0"/>
        <w:keepLines w:val="0"/>
        <w:widowControl/>
        <w:suppressLineNumbers w:val="0"/>
        <w:jc w:val="left"/>
      </w:pPr>
    </w:p>
    <w:p w14:paraId="18A30C7A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2023年以来，</w:t>
      </w:r>
    </w:p>
    <w:p w14:paraId="5799D2B1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姚集镇高度重视</w:t>
      </w:r>
    </w:p>
    <w:p w14:paraId="08A9E785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未成年人保护和预防犯罪工作，</w:t>
      </w:r>
    </w:p>
    <w:p w14:paraId="3D7051A4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把控辍保学等具体工作</w:t>
      </w:r>
    </w:p>
    <w:p w14:paraId="791A1355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列入班子成员工作清单，</w:t>
      </w:r>
    </w:p>
    <w:p w14:paraId="2D7BF6CB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spacing w:val="9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每次班子会必研究、必调度，</w:t>
      </w:r>
    </w:p>
    <w:p w14:paraId="6FEF866C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  <w:lang w:val="en-US" w:eastAsia="zh-CN"/>
        </w:rPr>
      </w:pPr>
      <w:r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  <w:lang w:val="en-US" w:eastAsia="zh-CN"/>
        </w:rPr>
        <w:t>多措并举做好未成年人权益保障工作。</w:t>
      </w:r>
    </w:p>
    <w:p w14:paraId="53B59F73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center"/>
        <w:textAlignment w:val="auto"/>
        <w:rPr>
          <w:rStyle w:val="15"/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  <w:lang w:val="en-US" w:eastAsia="zh-CN"/>
        </w:rPr>
      </w:pPr>
    </w:p>
    <w:p w14:paraId="54AC81C9">
      <w:pPr>
        <w:pStyle w:val="11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FFFFFF" w:sz="6" w:space="2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left"/>
        <w:textAlignment w:val="auto"/>
        <w:rPr>
          <w:rStyle w:val="15"/>
          <w:rFonts w:hint="eastAsia" w:ascii="方正仿宋_GBK" w:hAnsi="方正仿宋_GBK" w:eastAsia="方正仿宋_GBK" w:cs="方正仿宋_GBK"/>
          <w:b/>
          <w:bCs/>
          <w:color w:val="auto"/>
          <w:spacing w:val="23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/>
          <w:bCs/>
          <w:color w:val="auto"/>
          <w:spacing w:val="23"/>
          <w:sz w:val="24"/>
          <w:szCs w:val="24"/>
        </w:rPr>
        <w:t>法治教育进校园，护航青春助成长</w:t>
      </w:r>
    </w:p>
    <w:p w14:paraId="3C1936B3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ind w:firstLine="540" w:firstLineChars="200"/>
        <w:jc w:val="left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近日，姚集镇团委联合县公安局姚集派出所、姚集中学开展“守护青春 健康成长”阳光青少年成长课堂活动。活动邀请县检察院第四检察部主任王莎进行现场授课。王莎凭借其专业知识和实践经验，以《青春的注解》为题，选取代表性案例，详细讲解青少年自我保护等知识，引导他们树立正确的法治观念与自我保护意识。</w:t>
      </w:r>
    </w:p>
    <w:p w14:paraId="6BCA72E1">
      <w:pPr>
        <w:pStyle w:val="11"/>
        <w:keepNext w:val="0"/>
        <w:keepLines w:val="0"/>
        <w:widowControl/>
        <w:suppressLineNumbers w:val="0"/>
        <w:spacing w:after="225" w:afterAutospacing="0" w:line="368" w:lineRule="atLeast"/>
        <w:jc w:val="center"/>
      </w:pPr>
      <w:r>
        <w:rPr>
          <w:rFonts w:hint="eastAsia" w:ascii="微软雅黑" w:hAnsi="微软雅黑" w:eastAsia="微软雅黑" w:cs="微软雅黑"/>
          <w:color w:val="000000"/>
          <w:spacing w:val="15"/>
          <w:sz w:val="24"/>
          <w:szCs w:val="24"/>
          <w:vertAlign w:val="baseline"/>
        </w:rPr>
        <w:drawing>
          <wp:inline distT="0" distB="0" distL="114300" distR="114300">
            <wp:extent cx="4401185" cy="2473960"/>
            <wp:effectExtent l="0" t="0" r="18415" b="2540"/>
            <wp:docPr id="5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IMG_26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01185" cy="2473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E1F221F">
      <w:pPr>
        <w:pStyle w:val="11"/>
        <w:keepNext w:val="0"/>
        <w:keepLines w:val="0"/>
        <w:widowControl/>
        <w:suppressLineNumbers w:val="0"/>
        <w:spacing w:after="225" w:afterAutospacing="0" w:line="368" w:lineRule="atLeast"/>
        <w:ind w:firstLine="540" w:firstLineChars="200"/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“从司法事件来看，青少年违法犯罪情况时有发生。所以，加强青少年教育工作，增强他们的法制观念，提高他们的自我保护意识，我认为是非常重要的。对此，检察机关双管齐下，一方面对侵害未成年人的违法犯罪行为严惩不贷，以起到警示震慑作用；另一方面，大力推动法治进校园、进社区等系列活动，助力青少年深入学习法律知识，增强自我保护意识与能力。” 王莎说道。</w:t>
      </w:r>
    </w:p>
    <w:p w14:paraId="655EA5AB">
      <w:pPr>
        <w:pStyle w:val="11"/>
        <w:keepNext w:val="0"/>
        <w:keepLines w:val="0"/>
        <w:widowControl/>
        <w:suppressLineNumbers w:val="0"/>
        <w:spacing w:after="225" w:afterAutospacing="0" w:line="368" w:lineRule="atLeast"/>
        <w:jc w:val="center"/>
      </w:pPr>
      <w:r>
        <w:rPr>
          <w:rFonts w:hint="eastAsia" w:ascii="微软雅黑" w:hAnsi="微软雅黑" w:eastAsia="微软雅黑" w:cs="微软雅黑"/>
          <w:color w:val="000000"/>
          <w:spacing w:val="15"/>
          <w:sz w:val="24"/>
          <w:szCs w:val="24"/>
          <w:vertAlign w:val="baseline"/>
        </w:rPr>
        <w:drawing>
          <wp:inline distT="0" distB="0" distL="114300" distR="114300">
            <wp:extent cx="4512945" cy="2536825"/>
            <wp:effectExtent l="0" t="0" r="1905" b="15875"/>
            <wp:docPr id="9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IMG_26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2945" cy="2536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BBCEF60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ind w:firstLine="540" w:firstLineChars="200"/>
        <w:jc w:val="left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据了解，姚集镇还积极开展德育、法育和身心健康教育“三育课堂”，邀请“法制副校长”及资深律师开展法治自护讲座、“模拟法庭”体验等活动，进一步提高未成年人的思想道德水平和自我保护意识。</w:t>
      </w:r>
    </w:p>
    <w:p w14:paraId="05C981E4">
      <w:pPr>
        <w:pStyle w:val="11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ind w:firstLine="540" w:firstLineChars="200"/>
        <w:jc w:val="left"/>
        <w:textAlignment w:val="auto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</w:p>
    <w:p w14:paraId="0BF22BA3">
      <w:pPr>
        <w:pStyle w:val="11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FFFFFF" w:sz="6" w:space="2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0" w:afterAutospacing="0" w:line="360" w:lineRule="exact"/>
        <w:jc w:val="left"/>
        <w:textAlignment w:val="auto"/>
        <w:rPr>
          <w:rStyle w:val="15"/>
          <w:rFonts w:hint="eastAsia" w:ascii="方正仿宋_GBK" w:hAnsi="方正仿宋_GBK" w:eastAsia="方正仿宋_GBK" w:cs="方正仿宋_GBK"/>
          <w:b/>
          <w:bCs/>
          <w:color w:val="auto"/>
          <w:spacing w:val="23"/>
          <w:sz w:val="24"/>
          <w:szCs w:val="24"/>
        </w:rPr>
      </w:pPr>
      <w:r>
        <w:rPr>
          <w:rStyle w:val="15"/>
          <w:rFonts w:hint="eastAsia" w:ascii="方正仿宋_GBK" w:hAnsi="方正仿宋_GBK" w:eastAsia="方正仿宋_GBK" w:cs="方正仿宋_GBK"/>
          <w:b/>
          <w:bCs/>
          <w:color w:val="auto"/>
          <w:spacing w:val="23"/>
          <w:sz w:val="24"/>
          <w:szCs w:val="24"/>
        </w:rPr>
        <w:t>鹿鸣工作室领航，汇聚众力护苗成长</w:t>
      </w:r>
    </w:p>
    <w:p w14:paraId="7D88F617">
      <w:pPr>
        <w:pStyle w:val="11"/>
        <w:keepNext w:val="0"/>
        <w:keepLines w:val="0"/>
        <w:widowControl/>
        <w:suppressLineNumbers w:val="0"/>
        <w:spacing w:after="225" w:afterAutospacing="0" w:line="368" w:lineRule="atLeast"/>
        <w:ind w:firstLine="540" w:firstLineChars="200"/>
        <w:jc w:val="left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在姚集镇未成年人保护工作的整体布局中，鹿鸣工作室也是重要的组成部分。该工作室于2024年10月正式成立，统筹公安、司法、综治、学校、妇联、团委、民政、残联等部门力量，围绕涉违法犯罪、不良行为和问题少年，协同开展训诫、教育、引导和帮扶工作，跟踪转化问题少年，保护其身心成长空间。</w:t>
      </w:r>
    </w:p>
    <w:p w14:paraId="7EA028DF">
      <w:pPr>
        <w:pStyle w:val="11"/>
        <w:keepNext w:val="0"/>
        <w:keepLines w:val="0"/>
        <w:widowControl/>
        <w:suppressLineNumbers w:val="0"/>
        <w:spacing w:after="225" w:afterAutospacing="0" w:line="368" w:lineRule="atLeast"/>
        <w:jc w:val="center"/>
      </w:pPr>
      <w:r>
        <w:rPr>
          <w:rFonts w:hint="eastAsia" w:ascii="微软雅黑" w:hAnsi="微软雅黑" w:eastAsia="微软雅黑" w:cs="微软雅黑"/>
          <w:color w:val="000000"/>
          <w:spacing w:val="15"/>
          <w:sz w:val="24"/>
          <w:szCs w:val="24"/>
          <w:vertAlign w:val="baseline"/>
        </w:rPr>
        <w:drawing>
          <wp:inline distT="0" distB="0" distL="114300" distR="114300">
            <wp:extent cx="4650740" cy="2614295"/>
            <wp:effectExtent l="0" t="0" r="16510" b="14605"/>
            <wp:docPr id="6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 descr="IMG_26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50740" cy="26142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7791ED7">
      <w:pPr>
        <w:pStyle w:val="11"/>
        <w:keepNext w:val="0"/>
        <w:keepLines w:val="0"/>
        <w:widowControl/>
        <w:suppressLineNumbers w:val="0"/>
        <w:spacing w:after="225" w:afterAutospacing="0" w:line="368" w:lineRule="atLeast"/>
        <w:ind w:firstLine="540" w:firstLineChars="200"/>
        <w:jc w:val="left"/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“鹿鸣工作室设立在姚集派出所，一方面依托公安职能，针对涉违法犯罪未成年人开展教育与普法工作，让他们知法守法，树立正确价值观；另一方面，工作室协同各方力量，共同对学生们开展德育和心理疏导，并持续跟踪学生们思想状态，确保其不被不良因素干扰而误入歧途。”姚集派出所所长冯帅介绍，工作室的职能范畴还延伸至控辍保学、未成年人保护等多个重要领域，多方面为未成年人的成长保驾护航。</w:t>
      </w:r>
    </w:p>
    <w:p w14:paraId="0D77ED8C">
      <w:pPr>
        <w:pStyle w:val="11"/>
        <w:keepNext w:val="0"/>
        <w:keepLines w:val="0"/>
        <w:widowControl/>
        <w:suppressLineNumbers w:val="0"/>
        <w:spacing w:line="368" w:lineRule="atLeast"/>
        <w:jc w:val="center"/>
      </w:pPr>
      <w:r>
        <w:rPr>
          <w:rFonts w:hint="eastAsia" w:ascii="微软雅黑" w:hAnsi="微软雅黑" w:eastAsia="微软雅黑" w:cs="微软雅黑"/>
          <w:color w:val="000000"/>
          <w:spacing w:val="15"/>
          <w:sz w:val="24"/>
          <w:szCs w:val="24"/>
          <w:vertAlign w:val="baseline"/>
        </w:rPr>
        <w:drawing>
          <wp:inline distT="0" distB="0" distL="114300" distR="114300">
            <wp:extent cx="4512945" cy="2536825"/>
            <wp:effectExtent l="0" t="0" r="1905" b="15875"/>
            <wp:docPr id="7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 descr="IMG_2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12945" cy="2536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AB74E77">
      <w:pPr>
        <w:pStyle w:val="11"/>
        <w:keepNext w:val="0"/>
        <w:keepLines w:val="0"/>
        <w:widowControl/>
        <w:suppressLineNumbers w:val="0"/>
        <w:spacing w:line="420" w:lineRule="atLeast"/>
        <w:ind w:firstLine="540" w:firstLineChars="200"/>
        <w:rPr>
          <w:rFonts w:hint="default" w:ascii="Times New Roman" w:hAnsi="Times New Roman" w:eastAsia="方正仿宋_GBK" w:cs="Times New Roman"/>
          <w:sz w:val="28"/>
          <w:szCs w:val="28"/>
          <w:lang w:val="en-US" w:eastAsia="zh-CN"/>
        </w:rPr>
      </w:pPr>
      <w:r>
        <w:rPr>
          <w:rFonts w:hint="eastAsia" w:ascii="方正仿宋_GBK" w:hAnsi="方正仿宋_GBK" w:eastAsia="方正仿宋_GBK" w:cs="方正仿宋_GBK"/>
          <w:b w:val="0"/>
          <w:bCs w:val="0"/>
          <w:color w:val="auto"/>
          <w:spacing w:val="15"/>
          <w:sz w:val="24"/>
          <w:szCs w:val="24"/>
        </w:rPr>
        <w:t>“近年来，姚集镇围绕机制建设、组织保障、校园安全防护管理、司法保护、特殊群体关爱等方面，开展未成年人保护工作，例如阳光班级、鹿鸣工作室等创新做法，取得了一定的成效。”姚集镇党委副书记王冕表示，接下来，姚集镇将多维度推进未成年人保护工作。在学校层面，强化校园安全防护网，加强教育引导，继续完善建设阳光班级，做好控辍保学等方面的工作。在司法层面，开展法制宣传教育，做好未成年人预防犯罪工作。在社会层面，着力提升应急处置能力，保障道路交通安全，常态长效推进“护学岗”工作，为姚集镇未成年人营造健康、快乐、安全的成长环境，将未成年人保护工作真正落到实处。</w:t>
      </w:r>
    </w:p>
    <w:sectPr>
      <w:pgSz w:w="11906" w:h="16838"/>
      <w:pgMar w:top="1440" w:right="1800" w:bottom="1440" w:left="1800" w:header="851" w:footer="992" w:gutter="0"/>
      <w:cols w:space="0" w:num="1"/>
      <w:rtlGutter w:val="0"/>
      <w:docGrid w:type="lines" w:linePitch="387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ECB2579A-E025-4145-A89D-A94B4CB4E00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2" w:fontKey="{C71327D6-339C-4435-B2B6-CEC5E5214770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3" w:fontKey="{677EAADC-05A9-47D2-A295-93BBDD6FF892}"/>
  </w:font>
  <w:font w:name="方正仿宋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4" w:fontKey="{C00E8445-1CE2-4B44-B5E3-4CE92D3972D0}"/>
  </w:font>
  <w:font w:name="方正楷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5" w:fontKey="{B21B36AC-C1C2-4CC6-B3B9-2FBA2A3A5559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  <w:embedRegular r:id="rId6" w:fontKey="{667FCD64-C17E-4766-A89D-0B4B49583A17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5B75F30D-AC07-4B6D-A9D0-499F348F5C2B}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8" w:fontKey="{79026621-03B3-4955-AFEB-0CFFD8A7C1A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attachedTemplate r:id="rId1"/>
  <w:documentProtection w:enforcement="0"/>
  <w:defaultTabStop w:val="420"/>
  <w:drawingGridHorizontalSpacing w:val="210"/>
  <w:drawingGridVerticalSpacing w:val="194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AA24D9F"/>
    <w:rsid w:val="024E5305"/>
    <w:rsid w:val="07011CC2"/>
    <w:rsid w:val="07644792"/>
    <w:rsid w:val="08744BDF"/>
    <w:rsid w:val="09284798"/>
    <w:rsid w:val="0C877076"/>
    <w:rsid w:val="0F2B6FD9"/>
    <w:rsid w:val="0F3155D8"/>
    <w:rsid w:val="11823EC9"/>
    <w:rsid w:val="12A266D8"/>
    <w:rsid w:val="15064E11"/>
    <w:rsid w:val="15EF3AF7"/>
    <w:rsid w:val="15FA2BC8"/>
    <w:rsid w:val="16D927DD"/>
    <w:rsid w:val="17E458DD"/>
    <w:rsid w:val="183C240D"/>
    <w:rsid w:val="18585984"/>
    <w:rsid w:val="1AA24D9F"/>
    <w:rsid w:val="1F93589B"/>
    <w:rsid w:val="214B3730"/>
    <w:rsid w:val="28DA2E89"/>
    <w:rsid w:val="28F74D45"/>
    <w:rsid w:val="2A4254F9"/>
    <w:rsid w:val="2D1F32F4"/>
    <w:rsid w:val="323B4D81"/>
    <w:rsid w:val="34B70380"/>
    <w:rsid w:val="35707279"/>
    <w:rsid w:val="3AE174A3"/>
    <w:rsid w:val="42B9333F"/>
    <w:rsid w:val="43446334"/>
    <w:rsid w:val="43525132"/>
    <w:rsid w:val="44A84E71"/>
    <w:rsid w:val="477DCE1E"/>
    <w:rsid w:val="52462715"/>
    <w:rsid w:val="537229A4"/>
    <w:rsid w:val="556F3D31"/>
    <w:rsid w:val="558D7B5A"/>
    <w:rsid w:val="573E1E21"/>
    <w:rsid w:val="5AC4067B"/>
    <w:rsid w:val="5B062A42"/>
    <w:rsid w:val="5B487E91"/>
    <w:rsid w:val="5CF9550F"/>
    <w:rsid w:val="5EFEBDE8"/>
    <w:rsid w:val="5F776DCD"/>
    <w:rsid w:val="60624BBE"/>
    <w:rsid w:val="616363F5"/>
    <w:rsid w:val="61722BDF"/>
    <w:rsid w:val="65257F68"/>
    <w:rsid w:val="65501489"/>
    <w:rsid w:val="677B6565"/>
    <w:rsid w:val="68CA2609"/>
    <w:rsid w:val="68CC1AED"/>
    <w:rsid w:val="69BB0F42"/>
    <w:rsid w:val="6A637494"/>
    <w:rsid w:val="6BCF62E6"/>
    <w:rsid w:val="6CD3A16D"/>
    <w:rsid w:val="6D535020"/>
    <w:rsid w:val="6E5F49A6"/>
    <w:rsid w:val="6F003164"/>
    <w:rsid w:val="6F0A08FB"/>
    <w:rsid w:val="6FFF37D2"/>
    <w:rsid w:val="70DE2EF1"/>
    <w:rsid w:val="7C2154D6"/>
    <w:rsid w:val="7C5F4108"/>
    <w:rsid w:val="7F79C282"/>
    <w:rsid w:val="7F7B6CAE"/>
    <w:rsid w:val="7FBF6DD0"/>
    <w:rsid w:val="7FCD17FE"/>
    <w:rsid w:val="7FD7E9A0"/>
    <w:rsid w:val="7FE9FBB2"/>
    <w:rsid w:val="8FFFA67E"/>
    <w:rsid w:val="A97F623E"/>
    <w:rsid w:val="AFBF8780"/>
    <w:rsid w:val="BEEFCB4B"/>
    <w:rsid w:val="BFE6F841"/>
    <w:rsid w:val="D5DE8897"/>
    <w:rsid w:val="E7FE3684"/>
    <w:rsid w:val="EFFF70E4"/>
    <w:rsid w:val="F7EEC240"/>
    <w:rsid w:val="FBF75102"/>
    <w:rsid w:val="FDDC5620"/>
    <w:rsid w:val="FDEA700A"/>
    <w:rsid w:val="FFBFCE4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Arial" w:hAnsi="Arial" w:eastAsia="微软雅黑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260" w:beforeLines="0" w:beforeAutospacing="0" w:after="220" w:afterLines="0" w:afterAutospacing="0" w:line="240" w:lineRule="auto"/>
      <w:outlineLvl w:val="0"/>
    </w:pPr>
    <w:rPr>
      <w:rFonts w:ascii="Arial" w:hAnsi="Arial"/>
      <w:b/>
      <w:kern w:val="44"/>
      <w:sz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00" w:afterLines="0" w:afterAutospacing="0" w:line="240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180" w:afterLines="0" w:afterAutospacing="0" w:line="240" w:lineRule="auto"/>
      <w:outlineLvl w:val="2"/>
    </w:pPr>
    <w:rPr>
      <w:rFonts w:ascii="Arial" w:hAnsi="Arial"/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40" w:beforeLines="0" w:beforeAutospacing="0" w:after="160" w:afterLines="0" w:afterAutospacing="0" w:line="240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40" w:beforeLines="0" w:beforeAutospacing="0" w:after="160" w:afterLines="0" w:afterAutospacing="0" w:line="240" w:lineRule="auto"/>
      <w:outlineLvl w:val="4"/>
    </w:pPr>
    <w:rPr>
      <w:rFonts w:ascii="Arial" w:hAnsi="Arial"/>
      <w:b/>
      <w:sz w:val="28"/>
    </w:rPr>
  </w:style>
  <w:style w:type="paragraph" w:styleId="7">
    <w:name w:val="heading 6"/>
    <w:basedOn w:val="1"/>
    <w:next w:val="1"/>
    <w:unhideWhenUsed/>
    <w:qFormat/>
    <w:uiPriority w:val="0"/>
    <w:pPr>
      <w:keepNext/>
      <w:keepLines/>
      <w:spacing w:before="240" w:beforeLines="0" w:beforeAutospacing="0" w:after="120" w:afterLines="0" w:afterAutospacing="0" w:line="240" w:lineRule="auto"/>
      <w:outlineLvl w:val="5"/>
    </w:pPr>
    <w:rPr>
      <w:rFonts w:ascii="Arial" w:hAnsi="Arial"/>
      <w:b/>
      <w:sz w:val="24"/>
    </w:rPr>
  </w:style>
  <w:style w:type="paragraph" w:styleId="8">
    <w:name w:val="heading 7"/>
    <w:basedOn w:val="1"/>
    <w:next w:val="1"/>
    <w:unhideWhenUsed/>
    <w:qFormat/>
    <w:uiPriority w:val="0"/>
    <w:pPr>
      <w:keepNext/>
      <w:keepLines/>
      <w:spacing w:before="240" w:beforeLines="0" w:beforeAutospacing="0" w:after="120" w:afterLines="0" w:afterAutospacing="0" w:line="240" w:lineRule="auto"/>
      <w:outlineLvl w:val="6"/>
    </w:pPr>
    <w:rPr>
      <w:rFonts w:ascii="Arial" w:hAnsi="Arial"/>
      <w:b/>
      <w:sz w:val="24"/>
    </w:rPr>
  </w:style>
  <w:style w:type="paragraph" w:styleId="9">
    <w:name w:val="heading 8"/>
    <w:basedOn w:val="1"/>
    <w:next w:val="1"/>
    <w:unhideWhenUsed/>
    <w:qFormat/>
    <w:uiPriority w:val="0"/>
    <w:pPr>
      <w:keepNext/>
      <w:keepLines/>
      <w:spacing w:before="180" w:beforeLines="0" w:beforeAutospacing="0" w:after="64" w:afterLines="0" w:afterAutospacing="0" w:line="240" w:lineRule="auto"/>
      <w:outlineLvl w:val="7"/>
    </w:pPr>
    <w:rPr>
      <w:rFonts w:ascii="Arial" w:hAnsi="Arial"/>
      <w:sz w:val="24"/>
    </w:rPr>
  </w:style>
  <w:style w:type="paragraph" w:styleId="10">
    <w:name w:val="heading 9"/>
    <w:basedOn w:val="1"/>
    <w:next w:val="1"/>
    <w:unhideWhenUsed/>
    <w:qFormat/>
    <w:uiPriority w:val="0"/>
    <w:pPr>
      <w:keepNext/>
      <w:keepLines/>
      <w:spacing w:before="180" w:beforeLines="0" w:beforeAutospacing="0" w:after="64" w:afterLines="0" w:afterAutospacing="0" w:line="240" w:lineRule="auto"/>
      <w:outlineLvl w:val="8"/>
    </w:pPr>
    <w:rPr>
      <w:rFonts w:ascii="Arial" w:hAnsi="Arial"/>
    </w:rPr>
  </w:style>
  <w:style w:type="character" w:default="1" w:styleId="14">
    <w:name w:val="Default Paragraph Font"/>
    <w:qFormat/>
    <w:uiPriority w:val="0"/>
    <w:rPr>
      <w:rFonts w:eastAsia="微软雅黑" w:asciiTheme="minorAscii" w:hAnsiTheme="minorAscii"/>
    </w:rPr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3">
    <w:name w:val="Table Grid"/>
    <w:basedOn w:val="12"/>
    <w:qFormat/>
    <w:uiPriority w:val="0"/>
    <w:pPr>
      <w:widowControl w:val="0"/>
      <w:jc w:val="both"/>
    </w:pPr>
    <w:rPr>
      <w:rFonts w:eastAsia="宋体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Strong"/>
    <w:basedOn w:val="14"/>
    <w:qFormat/>
    <w:uiPriority w:val="0"/>
    <w:rPr>
      <w:b/>
    </w:rPr>
  </w:style>
  <w:style w:type="character" w:styleId="16">
    <w:name w:val="FollowedHyperlink"/>
    <w:basedOn w:val="14"/>
    <w:qFormat/>
    <w:uiPriority w:val="0"/>
    <w:rPr>
      <w:color w:val="800080"/>
      <w:u w:val="single"/>
    </w:rPr>
  </w:style>
  <w:style w:type="character" w:styleId="17">
    <w:name w:val="Hyperlink"/>
    <w:basedOn w:val="14"/>
    <w:qFormat/>
    <w:uiPriority w:val="0"/>
    <w:rPr>
      <w:color w:val="0000FF"/>
      <w:u w:val="single"/>
    </w:rPr>
  </w:style>
  <w:style w:type="paragraph" w:customStyle="1" w:styleId="18">
    <w:name w:val="Table Paragraph"/>
    <w:basedOn w:val="1"/>
    <w:qFormat/>
    <w:uiPriority w:val="1"/>
    <w:pPr>
      <w:widowControl/>
      <w:jc w:val="left"/>
    </w:pPr>
    <w:rPr>
      <w:rFonts w:hint="eastAsia" w:ascii="仿宋" w:hAnsi="仿宋" w:eastAsia="仿宋" w:cs="仿宋"/>
      <w:color w:val="000000"/>
      <w:kern w:val="0"/>
      <w:sz w:val="24"/>
      <w:szCs w:val="24"/>
      <w:u w:color="000000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webp"/><Relationship Id="rId8" Type="http://schemas.openxmlformats.org/officeDocument/2006/relationships/image" Target="media/image5.webp"/><Relationship Id="rId7" Type="http://schemas.openxmlformats.org/officeDocument/2006/relationships/image" Target="media/image4.webp"/><Relationship Id="rId6" Type="http://schemas.openxmlformats.org/officeDocument/2006/relationships/image" Target="media/image3.webp"/><Relationship Id="rId5" Type="http://schemas.openxmlformats.org/officeDocument/2006/relationships/image" Target="media/image2.webp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webp"/><Relationship Id="rId10" Type="http://schemas.openxmlformats.org/officeDocument/2006/relationships/image" Target="media/image7.webp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a\weboffice\C:\data\weboffice\C:\data\weboffice\C:\data\weboffice\C:\data\weboffice\C:\data\weboffice\C:\Users\June\Library\Containers\com.kingsoft.wpsoffice.mac\Data\C:\data\weboffice\C:\home\ranpeng\C:\Users\53YFKM2\AppData\Roaming\Kingsoft\wps\addons\pool\win-i386\knewfileres_1.0.0.3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7</Pages>
  <Words>2294</Words>
  <Characters>2391</Characters>
  <Lines>0</Lines>
  <Paragraphs>0</Paragraphs>
  <TotalTime>6</TotalTime>
  <ScaleCrop>false</ScaleCrop>
  <LinksUpToDate>false</LinksUpToDate>
  <CharactersWithSpaces>2415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2018-05-27T17:24:00Z</dcterms:created>
  <dc:creator>赵庭兰</dc:creator>
  <cp:lastModifiedBy>TX</cp:lastModifiedBy>
  <dcterms:modified xsi:type="dcterms:W3CDTF">2025-01-14T08:48:33Z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woTemplateTypoMode" linkTarget="0">
    <vt:lpwstr/>
  </property>
  <property fmtid="{D5CDD505-2E9C-101B-9397-08002B2CF9AE}" pid="4" name="woTemplate" linkTarget="0">
    <vt:i4>0</vt:i4>
  </property>
  <property fmtid="{D5CDD505-2E9C-101B-9397-08002B2CF9AE}" pid="5" name="KSOTemplateDocerSaveRecord">
    <vt:lpwstr>eyJoZGlkIjoiM2E1NjZmODhkZjc3OTZkOWUyY2QyZTEwODAwNTQ4YjMiLCJ1c2VySWQiOiIyMzc1MjU1NTYifQ==</vt:lpwstr>
  </property>
  <property fmtid="{D5CDD505-2E9C-101B-9397-08002B2CF9AE}" pid="6" name="ICV">
    <vt:lpwstr>B82565EB4217456DB529F8BBB2A4A5BD_12</vt:lpwstr>
  </property>
</Properties>
</file>